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11" w:rsidRDefault="008941AA">
      <w:pPr>
        <w:spacing w:after="24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ALKALMAZOTT MATEMATIKUS MESTERKÉPZÉSI SZAK MINTATANTERVE</w:t>
      </w:r>
    </w:p>
    <w:tbl>
      <w:tblPr>
        <w:tblW w:w="84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010"/>
        <w:gridCol w:w="1011"/>
        <w:gridCol w:w="1010"/>
        <w:gridCol w:w="1012"/>
        <w:gridCol w:w="1059"/>
      </w:tblGrid>
      <w:tr w:rsidR="00DC2911">
        <w:trPr>
          <w:trHeight w:val="368"/>
          <w:jc w:val="center"/>
        </w:trPr>
        <w:tc>
          <w:tcPr>
            <w:tcW w:w="74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ALKALMAZOTT ANALÍZIS SPECIALIZÁCIÓ</w:t>
            </w:r>
          </w:p>
          <w:p w:rsidR="00DC2911" w:rsidRDefault="008941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 xml:space="preserve"> páros években induló évfolyamoknak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proofErr w:type="gramStart"/>
            <w:r>
              <w:rPr>
                <w:rFonts w:ascii="Arial" w:eastAsia="MS Mincho" w:hAnsi="Arial"/>
                <w:b/>
                <w:sz w:val="16"/>
                <w:lang w:eastAsia="ja-JP"/>
              </w:rPr>
              <w:t>kontakt óra</w:t>
            </w:r>
            <w:proofErr w:type="gramEnd"/>
            <w:r>
              <w:rPr>
                <w:rFonts w:ascii="Arial" w:eastAsia="MS Mincho" w:hAnsi="Arial"/>
                <w:b/>
                <w:sz w:val="16"/>
                <w:lang w:eastAsia="ja-JP"/>
              </w:rPr>
              <w:t xml:space="preserve"> per hét / kredit / vizsgák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12/14/1v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16/20/2v</w:t>
            </w:r>
          </w:p>
        </w:tc>
      </w:tr>
      <w:tr w:rsidR="00DC2911">
        <w:trPr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elméleti alapozás tárgyai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proofErr w:type="gramStart"/>
            <w:r>
              <w:rPr>
                <w:rFonts w:ascii="Arial" w:eastAsia="MS Mincho" w:hAnsi="Arial"/>
                <w:i/>
                <w:sz w:val="16"/>
                <w:lang w:eastAsia="ja-JP"/>
              </w:rPr>
              <w:t>szak kötelező</w:t>
            </w:r>
            <w:proofErr w:type="gram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tárgyai közül kerülhetnek ki. Ebből azoknak a hallgatóknak kell szükség és oktatói előírás szerint maximum 20 kreditnyit teljesíteni, akik nem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felvételt. Azok a hallgatók, akiknek az alapozó tárgyakból 20-nál kevesebb kreditnyi teljesíteni valójuk van, a fennmaradó kredit-keretet választható szakmai tárgyakkal töltik ki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</w:t>
            </w:r>
            <w:hyperlink r:id="rId4">
              <w:r>
                <w:rPr>
                  <w:rStyle w:val="InternetLink"/>
                  <w:rFonts w:ascii="Arial" w:eastAsia="MS Mincho" w:hAnsi="Arial"/>
                  <w:i/>
                  <w:sz w:val="16"/>
                  <w:lang w:eastAsia="ja-JP"/>
                </w:rPr>
                <w:t>kari honlapon</w:t>
              </w:r>
            </w:hyperlink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található, az Elméleti alapozás kitöltéséről szóló szabályozás szerint.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8/10/2v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24/30/4v</w:t>
            </w:r>
          </w:p>
        </w:tc>
      </w:tr>
      <w:tr w:rsidR="00DC2911">
        <w:trPr>
          <w:trHeight w:val="400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spacing w:before="60" w:after="60"/>
              <w:jc w:val="both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alábbi 12 tárgyból legalább 6-ot kell teljesíteni. A tárgyakat oly módon kell kiválasztani, hogy az Algoritmuselmélet [1], Alkalmazott analízis [2], Diszkrét matematika [3], Operációkutatás [4],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[5] tematikus csoportok közül 4-et lefedjenek. A 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megjelölt tárgyakat az Alkalmazott analízis specializáció hallgatóinak kötelezően fel kell venniük.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Lineáris programozás: páratlan évben ősszel magyarul, páros évben ősszel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angolul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 Globális optimalizálás: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 nyelven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Globális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optimalizálás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4]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color w:val="00B050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00B050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Lineáris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programozás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4]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color w:val="00B050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00B050"/>
                <w:sz w:val="16"/>
                <w:lang w:eastAsia="ja-JP"/>
              </w:rPr>
              <w:t>(3/1/0/v/5)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Elméleti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számítástudomány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1, 3]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Algebrai és általános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kombinatorika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3]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Dinamikai rendszerek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Fourier analízis és függvénysorok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Parciális differenciálegyenletek 2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*    [</w:t>
            </w:r>
            <w:proofErr w:type="spellStart"/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Sztochasztikus analízis és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alkalmazásai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5]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Statisztika és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információelmélet    [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5]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Kommutatív algebra és algebrai geometria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Reprezentáció elmélet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Differenciálgeometria és topológia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 tárgyai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b/>
                <w:color w:val="FF3333"/>
                <w:sz w:val="20"/>
                <w:szCs w:val="20"/>
                <w:lang w:eastAsia="ja-JP"/>
              </w:rPr>
              <w:t>8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color w:val="FF3333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12/14/2v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t>4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3333"/>
                <w:sz w:val="20"/>
                <w:szCs w:val="20"/>
                <w:lang w:eastAsia="ja-JP"/>
              </w:rPr>
              <w:t>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36/41/6v</w:t>
            </w:r>
          </w:p>
        </w:tc>
      </w:tr>
      <w:tr w:rsidR="00DC2911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spacing w:before="60" w:after="60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>A 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és ***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megjelölt tárgyakból a specializáció hallgatóinak egyet-egyet kell felvenniük. A többi tárgy elvégzése kötelező.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perkolációelmélet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***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 klasszikus mechanika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módszerei</w:t>
            </w:r>
            <w:proofErr w:type="gramEnd"/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Numerikus módszerek 2 –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Parciális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differenciálegyenletek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>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Vektorterek a fizikában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Mátrixanalízis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kémia**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Operátorelmélet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Bevezetés a kvantum-információelméletbe</w:t>
            </w:r>
          </w:p>
          <w:p w:rsidR="00DC2911" w:rsidRDefault="008941AA"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(Potenciálelmélet*** helyett)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/f/2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Inverz szórási feladatok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D7590" w:rsidRDefault="005D7590">
            <w:pP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</w:pPr>
            <w:r w:rsidRPr="005D7590"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 xml:space="preserve">Algebrai és geometriai módszerek a </w:t>
            </w:r>
            <w:proofErr w:type="spellStart"/>
            <w:r w:rsidRPr="005D7590"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kvantuminformációelméletben</w:t>
            </w:r>
            <w:proofErr w:type="spellEnd"/>
            <w:r w:rsidRPr="005D7590"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 xml:space="preserve"> </w:t>
            </w:r>
          </w:p>
          <w:p w:rsidR="00DC2911" w:rsidRDefault="008941AA">
            <w:bookmarkStart w:id="0" w:name="_GoBack"/>
            <w:bookmarkEnd w:id="0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(A klasszikus mezőelméletek geometriája helyett)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</w:pPr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hd w:val="clear" w:color="auto" w:fill="FFCC99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/f/2)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A statisztikus fizika matematikai módszerei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r>
              <w:rPr>
                <w:rFonts w:ascii="Arial" w:eastAsia="MS Mincho" w:hAnsi="Arial"/>
                <w:sz w:val="16"/>
                <w:lang w:eastAsia="ja-JP"/>
              </w:rPr>
              <w:t xml:space="preserve">Disztribúcióelmélet és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Green-függvények</w:t>
            </w:r>
            <w:proofErr w:type="spellEnd"/>
            <w:r>
              <w:rPr>
                <w:rFonts w:ascii="Arial" w:eastAsia="MS Mincho" w:hAnsi="Arial"/>
                <w:color w:val="FF6633"/>
                <w:sz w:val="16"/>
                <w:lang w:eastAsia="ja-JP"/>
              </w:rPr>
              <w:t>***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</w:t>
            </w:r>
            <w:r>
              <w:rPr>
                <w:rFonts w:ascii="Arial" w:eastAsia="MS Mincho" w:hAnsi="Arial"/>
                <w:i/>
                <w:iCs/>
                <w:color w:val="EB613D"/>
                <w:sz w:val="16"/>
                <w:lang w:eastAsia="ja-JP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1,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1,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10/20/0v</w:t>
            </w: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/0/a/0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0/8/0/f/15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DC2911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DC2911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lastRenderedPageBreak/>
              <w:t>ÖSSZESEN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óra / kredit / vizsgák száma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b/>
                <w:color w:val="FF3333"/>
                <w:sz w:val="20"/>
                <w:szCs w:val="20"/>
                <w:lang w:eastAsia="ja-JP"/>
              </w:rPr>
              <w:t>26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color w:val="FF3333"/>
                <w:sz w:val="20"/>
                <w:szCs w:val="20"/>
                <w:lang w:eastAsia="ja-JP"/>
              </w:rPr>
              <w:t>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25/30/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24/29/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22/</w:t>
            </w:r>
            <w:r>
              <w:rPr>
                <w:rFonts w:ascii="Arial" w:eastAsia="MS Mincho" w:hAnsi="Arial"/>
                <w:b/>
                <w:i/>
                <w:iCs/>
                <w:color w:val="FF420E"/>
                <w:sz w:val="20"/>
                <w:szCs w:val="20"/>
                <w:lang w:eastAsia="ja-JP"/>
              </w:rPr>
              <w:t>31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2v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95/120/</w:t>
            </w:r>
          </w:p>
          <w:p w:rsidR="00DC2911" w:rsidRDefault="008941AA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13v</w:t>
            </w:r>
          </w:p>
        </w:tc>
      </w:tr>
    </w:tbl>
    <w:p w:rsidR="00DC2911" w:rsidRDefault="008941AA">
      <w:pPr>
        <w:tabs>
          <w:tab w:val="left" w:pos="426"/>
        </w:tabs>
        <w:jc w:val="center"/>
      </w:pPr>
      <w:r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>
        <w:rPr>
          <w:rFonts w:ascii="Arial" w:hAnsi="Arial" w:cs="Arial"/>
          <w:i/>
          <w:sz w:val="18"/>
          <w:szCs w:val="18"/>
        </w:rPr>
        <w:t>vizsga</w:t>
      </w:r>
      <w:r>
        <w:rPr>
          <w:rFonts w:ascii="Arial" w:hAnsi="Arial" w:cs="Arial"/>
          <w:sz w:val="18"/>
          <w:szCs w:val="18"/>
        </w:rPr>
        <w:t xml:space="preserve"> (v) vagy </w:t>
      </w:r>
      <w:r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</w:p>
    <w:sectPr w:rsidR="00DC2911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11"/>
    <w:rsid w:val="005D7590"/>
    <w:rsid w:val="008941AA"/>
    <w:rsid w:val="00D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B913-F86A-4463-8C33-337854E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E8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locked/>
    <w:rsid w:val="009A783D"/>
    <w:rPr>
      <w:rFonts w:ascii="Segoe UI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86334D"/>
    <w:rPr>
      <w:color w:val="0000FF" w:themeColor="hyperlink"/>
      <w:u w:val="single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rsid w:val="009A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k.bme.hu/sites/default/files/dokumentumok/kepzes/mesterkepzes/alkalmazott_matematika/20-kreditre_targy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ALKALMAZOTT MATEMATIKUS MESTERKÉPZÉSI SZAK MINTATANTERVE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ALKALMAZOTT MATEMATIKUS MESTERKÉPZÉSI SZAK MINTATANTERVE</dc:title>
  <dc:creator>Nagy Katalin</dc:creator>
  <cp:lastModifiedBy>Nagy Katalin</cp:lastModifiedBy>
  <cp:revision>3</cp:revision>
  <cp:lastPrinted>2017-10-02T19:12:00Z</cp:lastPrinted>
  <dcterms:created xsi:type="dcterms:W3CDTF">2019-01-30T10:03:00Z</dcterms:created>
  <dcterms:modified xsi:type="dcterms:W3CDTF">2019-02-18T19:05:00Z</dcterms:modified>
  <dc:language>en-US</dc:language>
</cp:coreProperties>
</file>